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BF17" w14:textId="4824661F" w:rsidR="00D601C1" w:rsidRPr="00D601C1" w:rsidRDefault="00D601C1" w:rsidP="00D601C1">
      <w:pPr>
        <w:rPr>
          <w:color w:val="EE0000"/>
        </w:rPr>
      </w:pPr>
      <w:r>
        <w:rPr>
          <w:color w:val="EE0000"/>
        </w:rPr>
        <w:t xml:space="preserve">Instructions: Complete the form. Delete all temporary text in red (including these instructions). All text in the final document should be black. Save the file as a .docx or .pdf format. Upload the final document to the syllabus repository in </w:t>
      </w:r>
      <w:hyperlink r:id="rId8" w:history="1">
        <w:proofErr w:type="spellStart"/>
        <w:r w:rsidR="006D0B35">
          <w:rPr>
            <w:rStyle w:val="Hyperlink"/>
          </w:rPr>
          <w:t>myWCU</w:t>
        </w:r>
        <w:proofErr w:type="spellEnd"/>
      </w:hyperlink>
      <w:r w:rsidR="000821DD" w:rsidRPr="00877836">
        <w:rPr>
          <w:color w:val="EE0000"/>
        </w:rPr>
        <w:t xml:space="preserve"> </w:t>
      </w:r>
      <w:r w:rsidR="00877836" w:rsidRPr="00877836">
        <w:rPr>
          <w:color w:val="EE0000"/>
        </w:rPr>
        <w:t xml:space="preserve">at least </w:t>
      </w:r>
      <w:r w:rsidR="000821DD">
        <w:rPr>
          <w:color w:val="EE0000"/>
        </w:rPr>
        <w:t>one week prior to the start of classes</w:t>
      </w:r>
      <w:r>
        <w:rPr>
          <w:color w:val="EE0000"/>
        </w:rPr>
        <w:t>.</w:t>
      </w:r>
      <w:r w:rsidR="000821DD">
        <w:rPr>
          <w:color w:val="EE0000"/>
        </w:rPr>
        <w:t xml:space="preserve"> (Note: </w:t>
      </w:r>
      <w:r w:rsidR="00877836">
        <w:rPr>
          <w:color w:val="EE0000"/>
        </w:rPr>
        <w:t>R</w:t>
      </w:r>
      <w:r w:rsidR="000821DD">
        <w:rPr>
          <w:color w:val="EE0000"/>
        </w:rPr>
        <w:t xml:space="preserve">epository will be available in Summer 2026.) </w:t>
      </w:r>
    </w:p>
    <w:p w14:paraId="6A60AF0D" w14:textId="47ECA236" w:rsidR="00F3573F" w:rsidRPr="00CE6DA0" w:rsidRDefault="003070D2" w:rsidP="00CE6DA0">
      <w:pPr>
        <w:pStyle w:val="Title"/>
      </w:pPr>
      <w:r w:rsidRPr="00CE6DA0">
        <w:t>PREFIX ### - Course Title</w:t>
      </w:r>
      <w:r w:rsidR="00833065" w:rsidRPr="00CE6DA0">
        <w:t xml:space="preserve"> </w:t>
      </w:r>
    </w:p>
    <w:p w14:paraId="3DEDE418" w14:textId="094C85DF" w:rsidR="003070D2" w:rsidRPr="00F3573F" w:rsidRDefault="00833065" w:rsidP="003070D2">
      <w:pPr>
        <w:jc w:val="center"/>
      </w:pPr>
      <w:r w:rsidRPr="00F3573F">
        <w:rPr>
          <w:color w:val="EE0000"/>
        </w:rPr>
        <w:t>[</w:t>
      </w:r>
      <w:r w:rsidR="00F3573F">
        <w:rPr>
          <w:color w:val="EE0000"/>
        </w:rPr>
        <w:t>U</w:t>
      </w:r>
      <w:r w:rsidRPr="00F3573F">
        <w:rPr>
          <w:color w:val="EE0000"/>
        </w:rPr>
        <w:t xml:space="preserve">se </w:t>
      </w:r>
      <w:r w:rsidR="00F3573F">
        <w:rPr>
          <w:color w:val="EE0000"/>
        </w:rPr>
        <w:t xml:space="preserve">the </w:t>
      </w:r>
      <w:r w:rsidRPr="00F3573F">
        <w:rPr>
          <w:color w:val="EE0000"/>
        </w:rPr>
        <w:t xml:space="preserve">exact title </w:t>
      </w:r>
      <w:r w:rsidR="007D4826">
        <w:rPr>
          <w:color w:val="EE0000"/>
        </w:rPr>
        <w:t>from the</w:t>
      </w:r>
      <w:r w:rsidRPr="00F3573F">
        <w:rPr>
          <w:color w:val="EE0000"/>
        </w:rPr>
        <w:t xml:space="preserve"> </w:t>
      </w:r>
      <w:hyperlink r:id="rId9" w:history="1">
        <w:r w:rsidRPr="00F3573F">
          <w:rPr>
            <w:rStyle w:val="Hyperlink"/>
          </w:rPr>
          <w:t>WCU catalog</w:t>
        </w:r>
      </w:hyperlink>
      <w:r w:rsidR="00F3573F" w:rsidRPr="00F3573F">
        <w:rPr>
          <w:color w:val="EE0000"/>
        </w:rPr>
        <w:t>.</w:t>
      </w:r>
      <w:r w:rsidRPr="00F3573F">
        <w:rPr>
          <w:color w:val="EE0000"/>
        </w:rPr>
        <w:t>]</w:t>
      </w:r>
    </w:p>
    <w:p w14:paraId="49CA8DF0" w14:textId="77777777" w:rsidR="00F3573F" w:rsidRPr="00CE6DA0" w:rsidRDefault="003F549B" w:rsidP="00CE6DA0">
      <w:pPr>
        <w:pStyle w:val="Heading1"/>
      </w:pPr>
      <w:r w:rsidRPr="00CE6DA0">
        <w:t>Description</w:t>
      </w:r>
    </w:p>
    <w:p w14:paraId="1162CFAD" w14:textId="211D09BC" w:rsidR="003F549B" w:rsidRDefault="00F72549">
      <w:r w:rsidRPr="00F3573F">
        <w:rPr>
          <w:color w:val="EE0000"/>
        </w:rPr>
        <w:t>[</w:t>
      </w:r>
      <w:r w:rsidR="00F3573F">
        <w:rPr>
          <w:color w:val="EE0000"/>
        </w:rPr>
        <w:t>E</w:t>
      </w:r>
      <w:r w:rsidRPr="00F3573F">
        <w:rPr>
          <w:color w:val="EE0000"/>
        </w:rPr>
        <w:t xml:space="preserve">nter </w:t>
      </w:r>
      <w:r w:rsidR="00F3573F">
        <w:rPr>
          <w:color w:val="EE0000"/>
        </w:rPr>
        <w:t xml:space="preserve">the </w:t>
      </w:r>
      <w:r w:rsidRPr="00F3573F">
        <w:rPr>
          <w:color w:val="EE0000"/>
        </w:rPr>
        <w:t xml:space="preserve">full description </w:t>
      </w:r>
      <w:r w:rsidR="00A17414">
        <w:rPr>
          <w:color w:val="EE0000"/>
        </w:rPr>
        <w:t xml:space="preserve">here </w:t>
      </w:r>
      <w:r w:rsidRPr="00F3573F">
        <w:rPr>
          <w:color w:val="EE0000"/>
        </w:rPr>
        <w:t>as it appears in the</w:t>
      </w:r>
      <w:r>
        <w:t xml:space="preserve"> </w:t>
      </w:r>
      <w:hyperlink r:id="rId10" w:history="1">
        <w:r w:rsidRPr="00F72549">
          <w:rPr>
            <w:rStyle w:val="Hyperlink"/>
          </w:rPr>
          <w:t>WCU catalog</w:t>
        </w:r>
      </w:hyperlink>
      <w:r w:rsidR="00F3573F" w:rsidRPr="00F3573F">
        <w:rPr>
          <w:color w:val="EE0000"/>
        </w:rPr>
        <w:t>.</w:t>
      </w:r>
      <w:r w:rsidRPr="00F3573F">
        <w:rPr>
          <w:color w:val="EE0000"/>
        </w:rPr>
        <w:t>]</w:t>
      </w:r>
    </w:p>
    <w:p w14:paraId="677C1525" w14:textId="77777777" w:rsidR="00F3573F" w:rsidRDefault="003F549B" w:rsidP="00CE6DA0">
      <w:pPr>
        <w:pStyle w:val="Heading1"/>
      </w:pPr>
      <w:r w:rsidRPr="005D03A0">
        <w:t>Student Learning Outcomes</w:t>
      </w:r>
      <w:r>
        <w:t xml:space="preserve"> </w:t>
      </w:r>
    </w:p>
    <w:p w14:paraId="4927A29E" w14:textId="52084ADF" w:rsidR="005D03A0" w:rsidRPr="00F3573F" w:rsidRDefault="00F3573F">
      <w:pPr>
        <w:rPr>
          <w:color w:val="EE0000"/>
        </w:rPr>
      </w:pPr>
      <w:r w:rsidRPr="00F3573F">
        <w:rPr>
          <w:color w:val="EE0000"/>
        </w:rPr>
        <w:t>[</w:t>
      </w:r>
      <w:r>
        <w:rPr>
          <w:color w:val="EE0000"/>
        </w:rPr>
        <w:t>E</w:t>
      </w:r>
      <w:r w:rsidR="00F72549" w:rsidRPr="00F3573F">
        <w:rPr>
          <w:color w:val="EE0000"/>
        </w:rPr>
        <w:t>nter SLOs for the course</w:t>
      </w:r>
      <w:r w:rsidR="00A17414">
        <w:rPr>
          <w:color w:val="EE0000"/>
        </w:rPr>
        <w:t xml:space="preserve"> below</w:t>
      </w:r>
      <w:r>
        <w:rPr>
          <w:color w:val="EE0000"/>
        </w:rPr>
        <w:t>.</w:t>
      </w:r>
      <w:r w:rsidR="00F72549" w:rsidRPr="00F3573F">
        <w:rPr>
          <w:color w:val="EE0000"/>
        </w:rPr>
        <w:t xml:space="preserve"> </w:t>
      </w:r>
      <w:r>
        <w:rPr>
          <w:color w:val="EE0000"/>
        </w:rPr>
        <w:t>S</w:t>
      </w:r>
      <w:r w:rsidR="00F72549" w:rsidRPr="00F3573F">
        <w:rPr>
          <w:color w:val="EE0000"/>
        </w:rPr>
        <w:t>ee best practices</w:t>
      </w:r>
      <w:r w:rsidR="002C3D37">
        <w:rPr>
          <w:color w:val="EE0000"/>
        </w:rPr>
        <w:t xml:space="preserve"> on the </w:t>
      </w:r>
      <w:hyperlink r:id="rId11" w:history="1">
        <w:r w:rsidR="002C3D37" w:rsidRPr="002C3D37">
          <w:rPr>
            <w:rStyle w:val="Hyperlink"/>
          </w:rPr>
          <w:t>CFC’s Syllabus Resources webpage</w:t>
        </w:r>
      </w:hyperlink>
      <w:r>
        <w:rPr>
          <w:color w:val="EE0000"/>
        </w:rPr>
        <w:t>.</w:t>
      </w:r>
      <w:r w:rsidR="00F72549" w:rsidRPr="00F3573F">
        <w:rPr>
          <w:color w:val="EE0000"/>
        </w:rPr>
        <w:t>]</w:t>
      </w:r>
    </w:p>
    <w:p w14:paraId="6546D29D" w14:textId="70F0713F" w:rsidR="003F549B" w:rsidRDefault="003F549B" w:rsidP="001038D4">
      <w:r>
        <w:t>Upon completion of this course, students will be able to</w:t>
      </w:r>
      <w:r w:rsidR="00F72549">
        <w:t>…</w:t>
      </w:r>
    </w:p>
    <w:p w14:paraId="0C2AA898" w14:textId="269E6BF7" w:rsidR="003F549B" w:rsidRDefault="00F72549" w:rsidP="003F549B">
      <w:pPr>
        <w:pStyle w:val="ListParagraph"/>
        <w:numPr>
          <w:ilvl w:val="0"/>
          <w:numId w:val="2"/>
        </w:numPr>
      </w:pPr>
      <w:r>
        <w:t>First SLO</w:t>
      </w:r>
      <w:r w:rsidR="00F3573F">
        <w:t>…</w:t>
      </w:r>
    </w:p>
    <w:p w14:paraId="14EEF66B" w14:textId="6B2C44A7" w:rsidR="00F72549" w:rsidRDefault="00F72549" w:rsidP="003F549B">
      <w:pPr>
        <w:pStyle w:val="ListParagraph"/>
        <w:numPr>
          <w:ilvl w:val="0"/>
          <w:numId w:val="2"/>
        </w:numPr>
      </w:pPr>
      <w:r>
        <w:t>Second SLO…</w:t>
      </w:r>
    </w:p>
    <w:p w14:paraId="6DCC9ECD" w14:textId="77777777" w:rsidR="00F3573F" w:rsidRDefault="008441CB" w:rsidP="00CE6DA0">
      <w:pPr>
        <w:pStyle w:val="Heading1"/>
      </w:pPr>
      <w:r w:rsidRPr="005D03A0">
        <w:t xml:space="preserve">Course Materials Required </w:t>
      </w:r>
      <w:r w:rsidRPr="00F3573F">
        <w:t>for Purchase</w:t>
      </w:r>
    </w:p>
    <w:p w14:paraId="417B4134" w14:textId="7EE95E2D" w:rsidR="008441CB" w:rsidRPr="00F3573F" w:rsidRDefault="00F72549">
      <w:pPr>
        <w:rPr>
          <w:color w:val="EE0000"/>
        </w:rPr>
      </w:pPr>
      <w:r w:rsidRPr="00F3573F">
        <w:rPr>
          <w:color w:val="EE0000"/>
        </w:rPr>
        <w:t>[</w:t>
      </w:r>
      <w:r w:rsidR="00F3573F">
        <w:rPr>
          <w:color w:val="EE0000"/>
        </w:rPr>
        <w:t>F</w:t>
      </w:r>
      <w:r w:rsidRPr="00F3573F">
        <w:rPr>
          <w:color w:val="EE0000"/>
        </w:rPr>
        <w:t xml:space="preserve">or </w:t>
      </w:r>
      <w:r w:rsidR="007D4826">
        <w:rPr>
          <w:color w:val="EE0000"/>
        </w:rPr>
        <w:t xml:space="preserve">residential </w:t>
      </w:r>
      <w:r w:rsidRPr="00F3573F">
        <w:rPr>
          <w:color w:val="EE0000"/>
        </w:rPr>
        <w:t>undergraduate courses</w:t>
      </w:r>
      <w:r w:rsidR="007D4826">
        <w:rPr>
          <w:color w:val="EE0000"/>
        </w:rPr>
        <w:t xml:space="preserve"> eligible for the book rental program</w:t>
      </w:r>
      <w:r w:rsidRPr="00F3573F">
        <w:rPr>
          <w:color w:val="EE0000"/>
        </w:rPr>
        <w:t xml:space="preserve">, list supplemental texts and supplies </w:t>
      </w:r>
      <w:r w:rsidR="007D4826">
        <w:rPr>
          <w:color w:val="EE0000"/>
        </w:rPr>
        <w:t xml:space="preserve">for purchase </w:t>
      </w:r>
      <w:r w:rsidRPr="00F3573F">
        <w:rPr>
          <w:color w:val="EE0000"/>
        </w:rPr>
        <w:t>only, not book rental</w:t>
      </w:r>
      <w:r w:rsidR="00F3573F">
        <w:rPr>
          <w:color w:val="EE0000"/>
        </w:rPr>
        <w:t>.</w:t>
      </w:r>
      <w:r w:rsidRPr="00F3573F">
        <w:rPr>
          <w:color w:val="EE0000"/>
        </w:rPr>
        <w:t xml:space="preserve"> </w:t>
      </w:r>
      <w:r w:rsidR="00F3573F">
        <w:rPr>
          <w:color w:val="EE0000"/>
        </w:rPr>
        <w:t>F</w:t>
      </w:r>
      <w:r w:rsidRPr="00F3573F">
        <w:rPr>
          <w:color w:val="EE0000"/>
        </w:rPr>
        <w:t xml:space="preserve">or </w:t>
      </w:r>
      <w:r w:rsidR="007D4826">
        <w:rPr>
          <w:color w:val="EE0000"/>
        </w:rPr>
        <w:t>all other courses not eligible for the book rental program (distance and graduate courses)</w:t>
      </w:r>
      <w:r w:rsidRPr="00F3573F">
        <w:rPr>
          <w:color w:val="EE0000"/>
        </w:rPr>
        <w:t>, list all required texts</w:t>
      </w:r>
      <w:r w:rsidR="00833065" w:rsidRPr="00F3573F">
        <w:rPr>
          <w:color w:val="EE0000"/>
        </w:rPr>
        <w:t xml:space="preserve"> for purchase</w:t>
      </w:r>
      <w:r w:rsidR="00F3573F">
        <w:rPr>
          <w:color w:val="EE0000"/>
        </w:rPr>
        <w:t>. O</w:t>
      </w:r>
      <w:r w:rsidR="00833065" w:rsidRPr="00F3573F">
        <w:rPr>
          <w:color w:val="EE0000"/>
        </w:rPr>
        <w:t xml:space="preserve">pen access </w:t>
      </w:r>
      <w:r w:rsidR="007D4826">
        <w:rPr>
          <w:color w:val="EE0000"/>
        </w:rPr>
        <w:t>and</w:t>
      </w:r>
      <w:r w:rsidR="00833065" w:rsidRPr="00F3573F">
        <w:rPr>
          <w:color w:val="EE0000"/>
        </w:rPr>
        <w:t xml:space="preserve"> optional texts</w:t>
      </w:r>
      <w:r w:rsidR="00F3573F">
        <w:rPr>
          <w:color w:val="EE0000"/>
        </w:rPr>
        <w:t xml:space="preserve"> do not need to be listed</w:t>
      </w:r>
      <w:r w:rsidR="007D4826">
        <w:rPr>
          <w:color w:val="EE0000"/>
        </w:rPr>
        <w:t xml:space="preserve"> for any courses</w:t>
      </w:r>
      <w:r w:rsidR="00F3573F">
        <w:rPr>
          <w:color w:val="EE0000"/>
        </w:rPr>
        <w:t>.</w:t>
      </w:r>
      <w:r w:rsidRPr="00F3573F">
        <w:rPr>
          <w:color w:val="EE0000"/>
        </w:rPr>
        <w:t>]</w:t>
      </w:r>
    </w:p>
    <w:p w14:paraId="57187248" w14:textId="77777777" w:rsidR="00F3573F" w:rsidRDefault="003F549B" w:rsidP="00CE6DA0">
      <w:pPr>
        <w:pStyle w:val="Heading1"/>
      </w:pPr>
      <w:r w:rsidRPr="005D03A0">
        <w:t>Assessment</w:t>
      </w:r>
    </w:p>
    <w:p w14:paraId="3F17DF11" w14:textId="06D6045A" w:rsidR="00D601C1" w:rsidRPr="006D0B35" w:rsidRDefault="00F72549" w:rsidP="006D0B35">
      <w:pPr>
        <w:rPr>
          <w:color w:val="EE0000"/>
        </w:rPr>
      </w:pPr>
      <w:r w:rsidRPr="00F3573F">
        <w:rPr>
          <w:color w:val="EE0000"/>
        </w:rPr>
        <w:t>[</w:t>
      </w:r>
      <w:r w:rsidR="00F3573F">
        <w:rPr>
          <w:color w:val="EE0000"/>
        </w:rPr>
        <w:t>L</w:t>
      </w:r>
      <w:r w:rsidRPr="00F3573F">
        <w:rPr>
          <w:color w:val="EE0000"/>
        </w:rPr>
        <w:t>ist major assignments and their weight toward the final grade</w:t>
      </w:r>
      <w:r w:rsidR="00F3573F">
        <w:rPr>
          <w:color w:val="EE0000"/>
        </w:rPr>
        <w:t>.</w:t>
      </w:r>
      <w:r w:rsidRPr="00F3573F">
        <w:rPr>
          <w:color w:val="EE0000"/>
        </w:rPr>
        <w:t xml:space="preserve"> </w:t>
      </w:r>
      <w:r w:rsidR="00F3573F">
        <w:rPr>
          <w:color w:val="EE0000"/>
        </w:rPr>
        <w:t>I</w:t>
      </w:r>
      <w:r w:rsidRPr="00F3573F">
        <w:rPr>
          <w:color w:val="EE0000"/>
        </w:rPr>
        <w:t>nclude attendance and/or participation if that is a factor in grade determination</w:t>
      </w:r>
      <w:r w:rsidR="00F3573F">
        <w:rPr>
          <w:color w:val="EE0000"/>
        </w:rPr>
        <w:t>.</w:t>
      </w:r>
      <w:r w:rsidRPr="00F3573F">
        <w:rPr>
          <w:color w:val="EE0000"/>
        </w:rPr>
        <w:t>]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  <w:tblCaption w:val="Assessment"/>
        <w:tblDescription w:val="Major assignments and their weight toward the final grade."/>
      </w:tblPr>
      <w:tblGrid>
        <w:gridCol w:w="2700"/>
        <w:gridCol w:w="2340"/>
      </w:tblGrid>
      <w:tr w:rsidR="003F549B" w14:paraId="5CCFC6DF" w14:textId="77777777" w:rsidTr="00D601C1">
        <w:trPr>
          <w:cantSplit/>
          <w:tblHeader/>
          <w:jc w:val="center"/>
        </w:trPr>
        <w:tc>
          <w:tcPr>
            <w:tcW w:w="2700" w:type="dxa"/>
          </w:tcPr>
          <w:p w14:paraId="0CA86AE7" w14:textId="00793684" w:rsidR="003F549B" w:rsidRDefault="003F549B">
            <w:r>
              <w:t>Assignment</w:t>
            </w:r>
          </w:p>
        </w:tc>
        <w:tc>
          <w:tcPr>
            <w:tcW w:w="2340" w:type="dxa"/>
          </w:tcPr>
          <w:p w14:paraId="3419CCBA" w14:textId="6A403B8D" w:rsidR="003F549B" w:rsidRDefault="003F549B">
            <w:r>
              <w:t xml:space="preserve">Weight </w:t>
            </w:r>
            <w:r w:rsidR="00F72549">
              <w:t>[</w:t>
            </w:r>
            <w:r>
              <w:t>or Points</w:t>
            </w:r>
            <w:r w:rsidR="00F72549">
              <w:t>]</w:t>
            </w:r>
          </w:p>
        </w:tc>
      </w:tr>
      <w:tr w:rsidR="003F549B" w14:paraId="56ACA750" w14:textId="77777777" w:rsidTr="00D601C1">
        <w:trPr>
          <w:cantSplit/>
          <w:jc w:val="center"/>
        </w:trPr>
        <w:tc>
          <w:tcPr>
            <w:tcW w:w="2700" w:type="dxa"/>
          </w:tcPr>
          <w:p w14:paraId="2A0D47E8" w14:textId="77C38543" w:rsidR="003F549B" w:rsidRDefault="003F549B"/>
        </w:tc>
        <w:tc>
          <w:tcPr>
            <w:tcW w:w="2340" w:type="dxa"/>
          </w:tcPr>
          <w:p w14:paraId="5A8C6286" w14:textId="2FFC83C0" w:rsidR="003F549B" w:rsidRDefault="003F549B"/>
        </w:tc>
      </w:tr>
      <w:tr w:rsidR="003F549B" w14:paraId="5F579189" w14:textId="77777777" w:rsidTr="00D601C1">
        <w:trPr>
          <w:cantSplit/>
          <w:jc w:val="center"/>
        </w:trPr>
        <w:tc>
          <w:tcPr>
            <w:tcW w:w="2700" w:type="dxa"/>
          </w:tcPr>
          <w:p w14:paraId="389B92D6" w14:textId="5ED77DA4" w:rsidR="003F549B" w:rsidRDefault="003F549B"/>
        </w:tc>
        <w:tc>
          <w:tcPr>
            <w:tcW w:w="2340" w:type="dxa"/>
          </w:tcPr>
          <w:p w14:paraId="435CEF5D" w14:textId="2817967B" w:rsidR="003F549B" w:rsidRDefault="003F549B"/>
        </w:tc>
      </w:tr>
      <w:tr w:rsidR="003F549B" w14:paraId="5501ECB7" w14:textId="77777777" w:rsidTr="00D601C1">
        <w:trPr>
          <w:cantSplit/>
          <w:jc w:val="center"/>
        </w:trPr>
        <w:tc>
          <w:tcPr>
            <w:tcW w:w="2700" w:type="dxa"/>
          </w:tcPr>
          <w:p w14:paraId="3D770AF0" w14:textId="735EB487" w:rsidR="003F549B" w:rsidRDefault="003F549B"/>
        </w:tc>
        <w:tc>
          <w:tcPr>
            <w:tcW w:w="2340" w:type="dxa"/>
          </w:tcPr>
          <w:p w14:paraId="1AEB6EAF" w14:textId="560AB742" w:rsidR="003F549B" w:rsidRDefault="003F549B"/>
        </w:tc>
      </w:tr>
      <w:tr w:rsidR="003F549B" w14:paraId="61C43D02" w14:textId="77777777" w:rsidTr="00D601C1">
        <w:trPr>
          <w:cantSplit/>
          <w:jc w:val="center"/>
        </w:trPr>
        <w:tc>
          <w:tcPr>
            <w:tcW w:w="2700" w:type="dxa"/>
          </w:tcPr>
          <w:p w14:paraId="45E30AB6" w14:textId="70AFAAC4" w:rsidR="003F549B" w:rsidRDefault="003F549B"/>
        </w:tc>
        <w:tc>
          <w:tcPr>
            <w:tcW w:w="2340" w:type="dxa"/>
          </w:tcPr>
          <w:p w14:paraId="321EC6FA" w14:textId="1E054AF2" w:rsidR="003F549B" w:rsidRDefault="003F549B"/>
        </w:tc>
      </w:tr>
      <w:tr w:rsidR="003F549B" w14:paraId="736E4776" w14:textId="77777777" w:rsidTr="00D601C1">
        <w:trPr>
          <w:cantSplit/>
          <w:jc w:val="center"/>
        </w:trPr>
        <w:tc>
          <w:tcPr>
            <w:tcW w:w="2700" w:type="dxa"/>
          </w:tcPr>
          <w:p w14:paraId="3C1E55E3" w14:textId="015F496C" w:rsidR="003F549B" w:rsidRDefault="003F549B"/>
        </w:tc>
        <w:tc>
          <w:tcPr>
            <w:tcW w:w="2340" w:type="dxa"/>
          </w:tcPr>
          <w:p w14:paraId="72D1BDE1" w14:textId="00FDCBA5" w:rsidR="003F549B" w:rsidRDefault="003F549B"/>
        </w:tc>
      </w:tr>
      <w:tr w:rsidR="003F549B" w14:paraId="12A32D22" w14:textId="77777777" w:rsidTr="00D601C1">
        <w:trPr>
          <w:cantSplit/>
          <w:jc w:val="center"/>
        </w:trPr>
        <w:tc>
          <w:tcPr>
            <w:tcW w:w="2700" w:type="dxa"/>
          </w:tcPr>
          <w:p w14:paraId="68B87B44" w14:textId="7ECE98C2" w:rsidR="003F549B" w:rsidRDefault="003F549B"/>
        </w:tc>
        <w:tc>
          <w:tcPr>
            <w:tcW w:w="2340" w:type="dxa"/>
          </w:tcPr>
          <w:p w14:paraId="085DD438" w14:textId="1E3DF69F" w:rsidR="003F549B" w:rsidRDefault="003F549B"/>
        </w:tc>
      </w:tr>
    </w:tbl>
    <w:p w14:paraId="2896F76F" w14:textId="77777777" w:rsidR="005D03A0" w:rsidRDefault="005D03A0"/>
    <w:p w14:paraId="3B987B56" w14:textId="77777777" w:rsidR="00F3573F" w:rsidRDefault="008441CB" w:rsidP="00CE6DA0">
      <w:pPr>
        <w:pStyle w:val="Heading1"/>
      </w:pPr>
      <w:r w:rsidRPr="005D03A0">
        <w:t xml:space="preserve">Grading </w:t>
      </w:r>
      <w:r w:rsidR="00F72549">
        <w:t>Scale</w:t>
      </w:r>
    </w:p>
    <w:p w14:paraId="7EA2B90B" w14:textId="59161F47" w:rsidR="002957F7" w:rsidRPr="006D0B35" w:rsidRDefault="00F72549" w:rsidP="006D0B35">
      <w:pPr>
        <w:rPr>
          <w:color w:val="EE0000"/>
        </w:rPr>
      </w:pPr>
      <w:r w:rsidRPr="00F3573F">
        <w:rPr>
          <w:color w:val="EE0000"/>
        </w:rPr>
        <w:t xml:space="preserve">[Indicate how numerical grades are converted to letter grades. Note </w:t>
      </w:r>
      <w:r w:rsidR="00CE6DA0">
        <w:rPr>
          <w:color w:val="EE0000"/>
        </w:rPr>
        <w:t xml:space="preserve">that </w:t>
      </w:r>
      <w:r w:rsidRPr="00F3573F">
        <w:rPr>
          <w:color w:val="EE0000"/>
        </w:rPr>
        <w:t>for graduate classes</w:t>
      </w:r>
      <w:r w:rsidR="00877836">
        <w:rPr>
          <w:color w:val="EE0000"/>
        </w:rPr>
        <w:t>,</w:t>
      </w:r>
      <w:r w:rsidRPr="00F3573F">
        <w:rPr>
          <w:color w:val="EE0000"/>
        </w:rPr>
        <w:t xml:space="preserve"> first-year seminar</w:t>
      </w:r>
      <w:r w:rsidR="00877836">
        <w:rPr>
          <w:color w:val="EE0000"/>
        </w:rPr>
        <w:t xml:space="preserve"> (FYS), and USI courses</w:t>
      </w:r>
      <w:r w:rsidRPr="00F3573F">
        <w:rPr>
          <w:color w:val="EE0000"/>
        </w:rPr>
        <w:t xml:space="preserve">, the only permissible grades are A, B, C, </w:t>
      </w:r>
      <w:r w:rsidR="00CE6DA0">
        <w:rPr>
          <w:color w:val="EE0000"/>
        </w:rPr>
        <w:t xml:space="preserve">and </w:t>
      </w:r>
      <w:r w:rsidRPr="00F3573F">
        <w:rPr>
          <w:color w:val="EE0000"/>
        </w:rPr>
        <w:t>F (grad</w:t>
      </w:r>
      <w:r w:rsidR="00CE6DA0">
        <w:rPr>
          <w:color w:val="EE0000"/>
        </w:rPr>
        <w:t>) or</w:t>
      </w:r>
      <w:r w:rsidRPr="00F3573F">
        <w:rPr>
          <w:color w:val="EE0000"/>
        </w:rPr>
        <w:t xml:space="preserve"> U (FYS</w:t>
      </w:r>
      <w:r w:rsidR="00877836">
        <w:rPr>
          <w:color w:val="EE0000"/>
        </w:rPr>
        <w:t>/USI</w:t>
      </w:r>
      <w:r w:rsidRPr="00F3573F">
        <w:rPr>
          <w:color w:val="EE0000"/>
        </w:rPr>
        <w:t>)</w:t>
      </w:r>
      <w:r w:rsidR="00D13314">
        <w:rPr>
          <w:color w:val="EE0000"/>
        </w:rPr>
        <w:t xml:space="preserve">. </w:t>
      </w:r>
      <w:r w:rsidR="00D13314" w:rsidRPr="006D0B35">
        <w:rPr>
          <w:b/>
          <w:bCs/>
          <w:color w:val="EE0000"/>
        </w:rPr>
        <w:t>Below is just a sample. Adjust to suit your course.</w:t>
      </w:r>
      <w:r w:rsidRPr="00F3573F">
        <w:rPr>
          <w:color w:val="EE0000"/>
        </w:rPr>
        <w:t>]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  <w:tblCaption w:val="Grading Scale"/>
        <w:tblDescription w:val="Grading Scale"/>
      </w:tblPr>
      <w:tblGrid>
        <w:gridCol w:w="3240"/>
        <w:gridCol w:w="1620"/>
      </w:tblGrid>
      <w:tr w:rsidR="00F72549" w14:paraId="29588763" w14:textId="77777777" w:rsidTr="002957F7">
        <w:trPr>
          <w:cantSplit/>
          <w:tblHeader/>
          <w:jc w:val="center"/>
        </w:trPr>
        <w:tc>
          <w:tcPr>
            <w:tcW w:w="3240" w:type="dxa"/>
          </w:tcPr>
          <w:p w14:paraId="152E6F74" w14:textId="2DB5DAC2" w:rsidR="00F72549" w:rsidRDefault="00F72549" w:rsidP="008441CB">
            <w:r>
              <w:t>Numerical Grade [or Points]</w:t>
            </w:r>
          </w:p>
        </w:tc>
        <w:tc>
          <w:tcPr>
            <w:tcW w:w="1620" w:type="dxa"/>
          </w:tcPr>
          <w:p w14:paraId="31767AFA" w14:textId="050E7563" w:rsidR="00F72549" w:rsidRDefault="00F72549" w:rsidP="008441CB">
            <w:r>
              <w:t>Letter Grade</w:t>
            </w:r>
          </w:p>
        </w:tc>
      </w:tr>
      <w:tr w:rsidR="008441CB" w14:paraId="59DF8DEB" w14:textId="77777777" w:rsidTr="002957F7">
        <w:trPr>
          <w:cantSplit/>
          <w:jc w:val="center"/>
        </w:trPr>
        <w:tc>
          <w:tcPr>
            <w:tcW w:w="3240" w:type="dxa"/>
          </w:tcPr>
          <w:p w14:paraId="1EE3B4EF" w14:textId="1F808E04" w:rsidR="008441CB" w:rsidRDefault="008441CB" w:rsidP="008441CB">
            <w:r>
              <w:t>97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100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20A0F4E4" w14:textId="3D67EF73" w:rsidR="008441CB" w:rsidRDefault="008441CB" w:rsidP="008441CB">
            <w:r>
              <w:t>A+</w:t>
            </w:r>
          </w:p>
        </w:tc>
      </w:tr>
      <w:tr w:rsidR="008441CB" w14:paraId="42D6468D" w14:textId="77777777" w:rsidTr="002957F7">
        <w:trPr>
          <w:cantSplit/>
          <w:jc w:val="center"/>
        </w:trPr>
        <w:tc>
          <w:tcPr>
            <w:tcW w:w="3240" w:type="dxa"/>
          </w:tcPr>
          <w:p w14:paraId="705447F6" w14:textId="018819D1" w:rsidR="008441CB" w:rsidRDefault="008441CB" w:rsidP="008441CB">
            <w:r>
              <w:t>93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96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6C598F2B" w14:textId="5759F20E" w:rsidR="008441CB" w:rsidRDefault="008441CB" w:rsidP="008441CB">
            <w:r>
              <w:t>A</w:t>
            </w:r>
          </w:p>
        </w:tc>
      </w:tr>
      <w:tr w:rsidR="008441CB" w14:paraId="5AE2E3B1" w14:textId="77777777" w:rsidTr="002957F7">
        <w:trPr>
          <w:cantSplit/>
          <w:jc w:val="center"/>
        </w:trPr>
        <w:tc>
          <w:tcPr>
            <w:tcW w:w="3240" w:type="dxa"/>
          </w:tcPr>
          <w:p w14:paraId="315D78A6" w14:textId="551236A8" w:rsidR="008441CB" w:rsidRDefault="008441CB" w:rsidP="008441CB">
            <w:r>
              <w:t>90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92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69EA4195" w14:textId="36B2F527" w:rsidR="008441CB" w:rsidRDefault="008441CB" w:rsidP="008441CB">
            <w:r>
              <w:t>A-</w:t>
            </w:r>
          </w:p>
        </w:tc>
      </w:tr>
      <w:tr w:rsidR="008441CB" w14:paraId="75F4555B" w14:textId="77777777" w:rsidTr="002957F7">
        <w:trPr>
          <w:cantSplit/>
          <w:jc w:val="center"/>
        </w:trPr>
        <w:tc>
          <w:tcPr>
            <w:tcW w:w="3240" w:type="dxa"/>
          </w:tcPr>
          <w:p w14:paraId="4D45F316" w14:textId="230FDC11" w:rsidR="008441CB" w:rsidRDefault="008441CB" w:rsidP="008441CB">
            <w:r>
              <w:t>87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89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0F8B8184" w14:textId="16E7B324" w:rsidR="008441CB" w:rsidRDefault="008441CB" w:rsidP="008441CB">
            <w:r>
              <w:t>B+</w:t>
            </w:r>
          </w:p>
        </w:tc>
      </w:tr>
      <w:tr w:rsidR="008441CB" w14:paraId="0C7CED4F" w14:textId="77777777" w:rsidTr="002957F7">
        <w:trPr>
          <w:cantSplit/>
          <w:jc w:val="center"/>
        </w:trPr>
        <w:tc>
          <w:tcPr>
            <w:tcW w:w="3240" w:type="dxa"/>
          </w:tcPr>
          <w:p w14:paraId="397B6AF0" w14:textId="16731A1D" w:rsidR="008441CB" w:rsidRDefault="008441CB" w:rsidP="008441CB">
            <w:r>
              <w:t>83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86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4EC23BCC" w14:textId="51D020AD" w:rsidR="008441CB" w:rsidRDefault="008441CB" w:rsidP="008441CB">
            <w:r>
              <w:t>B</w:t>
            </w:r>
          </w:p>
        </w:tc>
      </w:tr>
      <w:tr w:rsidR="008441CB" w14:paraId="21FD1C07" w14:textId="77777777" w:rsidTr="002957F7">
        <w:trPr>
          <w:cantSplit/>
          <w:jc w:val="center"/>
        </w:trPr>
        <w:tc>
          <w:tcPr>
            <w:tcW w:w="3240" w:type="dxa"/>
          </w:tcPr>
          <w:p w14:paraId="2FA8AE44" w14:textId="7CAE5BAF" w:rsidR="008441CB" w:rsidRDefault="008441CB" w:rsidP="008441CB">
            <w:r>
              <w:t>80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82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753233E0" w14:textId="009B5DBB" w:rsidR="008441CB" w:rsidRDefault="008441CB" w:rsidP="008441CB">
            <w:r>
              <w:t>B-</w:t>
            </w:r>
          </w:p>
        </w:tc>
      </w:tr>
      <w:tr w:rsidR="008441CB" w14:paraId="734B29B5" w14:textId="77777777" w:rsidTr="002957F7">
        <w:trPr>
          <w:cantSplit/>
          <w:jc w:val="center"/>
        </w:trPr>
        <w:tc>
          <w:tcPr>
            <w:tcW w:w="3240" w:type="dxa"/>
          </w:tcPr>
          <w:p w14:paraId="0628F191" w14:textId="4D4E138A" w:rsidR="008441CB" w:rsidRDefault="008441CB" w:rsidP="008441CB">
            <w:r>
              <w:t>77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79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6BC803EA" w14:textId="141CD22B" w:rsidR="008441CB" w:rsidRDefault="008441CB" w:rsidP="008441CB">
            <w:r>
              <w:t>C+</w:t>
            </w:r>
          </w:p>
        </w:tc>
      </w:tr>
      <w:tr w:rsidR="008441CB" w14:paraId="2AD0C279" w14:textId="77777777" w:rsidTr="002957F7">
        <w:trPr>
          <w:cantSplit/>
          <w:jc w:val="center"/>
        </w:trPr>
        <w:tc>
          <w:tcPr>
            <w:tcW w:w="3240" w:type="dxa"/>
          </w:tcPr>
          <w:p w14:paraId="258BEEC8" w14:textId="760B5D9D" w:rsidR="008441CB" w:rsidRDefault="008441CB" w:rsidP="008441CB">
            <w:r>
              <w:t>73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76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04542309" w14:textId="30B76A87" w:rsidR="008441CB" w:rsidRDefault="008441CB" w:rsidP="008441CB">
            <w:r>
              <w:t>C</w:t>
            </w:r>
          </w:p>
        </w:tc>
      </w:tr>
      <w:tr w:rsidR="008441CB" w14:paraId="178DC2D2" w14:textId="77777777" w:rsidTr="002957F7">
        <w:trPr>
          <w:cantSplit/>
          <w:jc w:val="center"/>
        </w:trPr>
        <w:tc>
          <w:tcPr>
            <w:tcW w:w="3240" w:type="dxa"/>
          </w:tcPr>
          <w:p w14:paraId="35E7E1C3" w14:textId="58C9282E" w:rsidR="008441CB" w:rsidRDefault="008441CB" w:rsidP="008441CB">
            <w:r>
              <w:t>70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72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1BCCB6CE" w14:textId="1CC0012D" w:rsidR="008441CB" w:rsidRDefault="008441CB" w:rsidP="008441CB">
            <w:r>
              <w:t>C-</w:t>
            </w:r>
          </w:p>
        </w:tc>
      </w:tr>
      <w:tr w:rsidR="008441CB" w14:paraId="3E418F3F" w14:textId="77777777" w:rsidTr="002957F7">
        <w:trPr>
          <w:cantSplit/>
          <w:jc w:val="center"/>
        </w:trPr>
        <w:tc>
          <w:tcPr>
            <w:tcW w:w="3240" w:type="dxa"/>
          </w:tcPr>
          <w:p w14:paraId="3477BECB" w14:textId="0C1746CF" w:rsidR="008441CB" w:rsidRDefault="008441CB" w:rsidP="008441CB">
            <w:r>
              <w:t>67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69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70DF36AD" w14:textId="6715BF99" w:rsidR="008441CB" w:rsidRDefault="008441CB" w:rsidP="008441CB">
            <w:r>
              <w:t>D+</w:t>
            </w:r>
          </w:p>
        </w:tc>
      </w:tr>
      <w:tr w:rsidR="008441CB" w14:paraId="20C61040" w14:textId="77777777" w:rsidTr="002957F7">
        <w:trPr>
          <w:cantSplit/>
          <w:jc w:val="center"/>
        </w:trPr>
        <w:tc>
          <w:tcPr>
            <w:tcW w:w="3240" w:type="dxa"/>
          </w:tcPr>
          <w:p w14:paraId="74213C39" w14:textId="5FE79A06" w:rsidR="008441CB" w:rsidRDefault="008441CB" w:rsidP="008441CB">
            <w:r>
              <w:t>63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67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3A105CD4" w14:textId="486439DB" w:rsidR="008441CB" w:rsidRDefault="008441CB" w:rsidP="008441CB">
            <w:r>
              <w:t>D</w:t>
            </w:r>
          </w:p>
        </w:tc>
      </w:tr>
      <w:tr w:rsidR="008441CB" w14:paraId="567E187A" w14:textId="77777777" w:rsidTr="002957F7">
        <w:trPr>
          <w:cantSplit/>
          <w:jc w:val="center"/>
        </w:trPr>
        <w:tc>
          <w:tcPr>
            <w:tcW w:w="3240" w:type="dxa"/>
          </w:tcPr>
          <w:p w14:paraId="696A3BEB" w14:textId="2CB3D1D9" w:rsidR="008441CB" w:rsidRDefault="008441CB" w:rsidP="008441CB">
            <w:r>
              <w:t>60</w:t>
            </w:r>
            <w:r w:rsidR="003070D2">
              <w:t xml:space="preserve"> </w:t>
            </w:r>
            <w:r>
              <w:t>-</w:t>
            </w:r>
            <w:r w:rsidR="003070D2">
              <w:t xml:space="preserve"> </w:t>
            </w:r>
            <w:r>
              <w:t>62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2B8989F4" w14:textId="1F08CD26" w:rsidR="008441CB" w:rsidRDefault="008441CB" w:rsidP="008441CB">
            <w:r>
              <w:t>D-</w:t>
            </w:r>
          </w:p>
        </w:tc>
      </w:tr>
      <w:tr w:rsidR="008441CB" w14:paraId="0D9912C2" w14:textId="77777777" w:rsidTr="002957F7">
        <w:trPr>
          <w:cantSplit/>
          <w:jc w:val="center"/>
        </w:trPr>
        <w:tc>
          <w:tcPr>
            <w:tcW w:w="3240" w:type="dxa"/>
          </w:tcPr>
          <w:p w14:paraId="3E7DDB0F" w14:textId="7CDD3D60" w:rsidR="008441CB" w:rsidRDefault="008441CB" w:rsidP="008441CB">
            <w:r>
              <w:t>&lt;60</w:t>
            </w:r>
            <w:r w:rsidR="00F72549">
              <w:t xml:space="preserve"> </w:t>
            </w:r>
            <w:r>
              <w:t>%</w:t>
            </w:r>
          </w:p>
        </w:tc>
        <w:tc>
          <w:tcPr>
            <w:tcW w:w="1620" w:type="dxa"/>
          </w:tcPr>
          <w:p w14:paraId="7D49A703" w14:textId="2FB2F97B" w:rsidR="008441CB" w:rsidRDefault="008441CB" w:rsidP="008441CB">
            <w:r>
              <w:t>F</w:t>
            </w:r>
          </w:p>
        </w:tc>
      </w:tr>
    </w:tbl>
    <w:p w14:paraId="0C7D331B" w14:textId="77777777" w:rsidR="008441CB" w:rsidRDefault="008441CB" w:rsidP="008441CB"/>
    <w:p w14:paraId="4EBAB89E" w14:textId="2B83729B" w:rsidR="00F72549" w:rsidRPr="00C707DB" w:rsidRDefault="00877836" w:rsidP="00CE6DA0">
      <w:pPr>
        <w:pStyle w:val="Heading1"/>
      </w:pPr>
      <w:r>
        <w:t>Required</w:t>
      </w:r>
      <w:r w:rsidR="00F72549">
        <w:t xml:space="preserve"> </w:t>
      </w:r>
      <w:r w:rsidR="003070D2">
        <w:t xml:space="preserve">Syllabus </w:t>
      </w:r>
      <w:r w:rsidR="00F72549">
        <w:t>Statement</w:t>
      </w:r>
      <w:r w:rsidR="00C707DB">
        <w:t xml:space="preserve"> (UNC System Office Policy 400.1.6[R])</w:t>
      </w:r>
    </w:p>
    <w:p w14:paraId="6C496A2D" w14:textId="77777777" w:rsidR="00F72549" w:rsidRPr="003F549B" w:rsidRDefault="00F72549" w:rsidP="00F7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WCU courses engage diverse scholarly perspectives to develop critical thinking, analysis, and debate, and inclusion of a reading does not imply endorsement.</w:t>
      </w:r>
    </w:p>
    <w:p w14:paraId="257728D3" w14:textId="77777777" w:rsidR="00F72549" w:rsidRPr="00F72549" w:rsidRDefault="00F72549"/>
    <w:p w14:paraId="13F5E5A9" w14:textId="77777777" w:rsidR="003F549B" w:rsidRDefault="003F549B"/>
    <w:p w14:paraId="075109C5" w14:textId="77777777" w:rsidR="003F549B" w:rsidRDefault="003F549B"/>
    <w:sectPr w:rsidR="003F54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BF1E" w14:textId="77777777" w:rsidR="00733519" w:rsidRDefault="00733519" w:rsidP="005D03A0">
      <w:pPr>
        <w:spacing w:after="0" w:line="240" w:lineRule="auto"/>
      </w:pPr>
      <w:r>
        <w:separator/>
      </w:r>
    </w:p>
  </w:endnote>
  <w:endnote w:type="continuationSeparator" w:id="0">
    <w:p w14:paraId="7D749F1D" w14:textId="77777777" w:rsidR="00733519" w:rsidRDefault="00733519" w:rsidP="005D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542827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F727AE" w14:textId="3E657401" w:rsidR="005D03A0" w:rsidRDefault="005D03A0" w:rsidP="00071F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9899D9" w14:textId="77777777" w:rsidR="005D03A0" w:rsidRDefault="005D0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16818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498281" w14:textId="6BCEBA46" w:rsidR="005D03A0" w:rsidRDefault="005D03A0" w:rsidP="00071F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D41C41" w14:textId="77777777" w:rsidR="005D03A0" w:rsidRDefault="005D0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F3FB" w14:textId="77777777" w:rsidR="00124AA5" w:rsidRDefault="0012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C935" w14:textId="77777777" w:rsidR="00733519" w:rsidRDefault="00733519" w:rsidP="005D03A0">
      <w:pPr>
        <w:spacing w:after="0" w:line="240" w:lineRule="auto"/>
      </w:pPr>
      <w:r>
        <w:separator/>
      </w:r>
    </w:p>
  </w:footnote>
  <w:footnote w:type="continuationSeparator" w:id="0">
    <w:p w14:paraId="024D1874" w14:textId="77777777" w:rsidR="00733519" w:rsidRDefault="00733519" w:rsidP="005D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FF50" w14:textId="4937C52D" w:rsidR="00124AA5" w:rsidRDefault="00124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EA48" w14:textId="7B9435C6" w:rsidR="00124AA5" w:rsidRDefault="00124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4C30" w14:textId="013429E4" w:rsidR="00124AA5" w:rsidRDefault="00124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997"/>
    <w:multiLevelType w:val="hybridMultilevel"/>
    <w:tmpl w:val="6826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27A26"/>
    <w:multiLevelType w:val="hybridMultilevel"/>
    <w:tmpl w:val="E28461D6"/>
    <w:lvl w:ilvl="0" w:tplc="AAFC12BA">
      <w:start w:val="1"/>
      <w:numFmt w:val="upperRoman"/>
      <w:lvlText w:val="%1."/>
      <w:lvlJc w:val="left"/>
      <w:pPr>
        <w:ind w:left="1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460" w:hanging="360"/>
      </w:pPr>
    </w:lvl>
    <w:lvl w:ilvl="2" w:tplc="0409000F">
      <w:start w:val="1"/>
      <w:numFmt w:val="decimal"/>
      <w:lvlText w:val="%3."/>
      <w:lvlJc w:val="left"/>
      <w:pPr>
        <w:ind w:left="1907" w:hanging="360"/>
      </w:pPr>
    </w:lvl>
    <w:lvl w:ilvl="3" w:tplc="0409000F">
      <w:start w:val="1"/>
      <w:numFmt w:val="decimal"/>
      <w:lvlText w:val="%4."/>
      <w:lvlJc w:val="left"/>
      <w:pPr>
        <w:ind w:left="1906" w:hanging="360"/>
      </w:pPr>
    </w:lvl>
    <w:lvl w:ilvl="4" w:tplc="04090019">
      <w:start w:val="1"/>
      <w:numFmt w:val="lowerLetter"/>
      <w:lvlText w:val="%5."/>
      <w:lvlJc w:val="left"/>
      <w:pPr>
        <w:ind w:left="2951" w:hanging="360"/>
      </w:pPr>
    </w:lvl>
    <w:lvl w:ilvl="5" w:tplc="AA90FA96">
      <w:numFmt w:val="bullet"/>
      <w:lvlText w:val="•"/>
      <w:lvlJc w:val="left"/>
      <w:pPr>
        <w:ind w:left="4351" w:hanging="714"/>
      </w:pPr>
      <w:rPr>
        <w:rFonts w:hint="default"/>
        <w:lang w:val="en-US" w:eastAsia="en-US" w:bidi="ar-SA"/>
      </w:rPr>
    </w:lvl>
    <w:lvl w:ilvl="6" w:tplc="07767A8E">
      <w:numFmt w:val="bullet"/>
      <w:lvlText w:val="•"/>
      <w:lvlJc w:val="left"/>
      <w:pPr>
        <w:ind w:left="5397" w:hanging="714"/>
      </w:pPr>
      <w:rPr>
        <w:rFonts w:hint="default"/>
        <w:lang w:val="en-US" w:eastAsia="en-US" w:bidi="ar-SA"/>
      </w:rPr>
    </w:lvl>
    <w:lvl w:ilvl="7" w:tplc="F5E26436">
      <w:numFmt w:val="bullet"/>
      <w:lvlText w:val="•"/>
      <w:lvlJc w:val="left"/>
      <w:pPr>
        <w:ind w:left="6442" w:hanging="714"/>
      </w:pPr>
      <w:rPr>
        <w:rFonts w:hint="default"/>
        <w:lang w:val="en-US" w:eastAsia="en-US" w:bidi="ar-SA"/>
      </w:rPr>
    </w:lvl>
    <w:lvl w:ilvl="8" w:tplc="F3C0B800">
      <w:numFmt w:val="bullet"/>
      <w:lvlText w:val="•"/>
      <w:lvlJc w:val="left"/>
      <w:pPr>
        <w:ind w:left="7488" w:hanging="714"/>
      </w:pPr>
      <w:rPr>
        <w:rFonts w:hint="default"/>
        <w:lang w:val="en-US" w:eastAsia="en-US" w:bidi="ar-SA"/>
      </w:rPr>
    </w:lvl>
  </w:abstractNum>
  <w:num w:numId="1" w16cid:durableId="1829595079">
    <w:abstractNumId w:val="1"/>
  </w:num>
  <w:num w:numId="2" w16cid:durableId="74156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9B"/>
    <w:rsid w:val="000821DD"/>
    <w:rsid w:val="001038D4"/>
    <w:rsid w:val="00124AA5"/>
    <w:rsid w:val="00127E18"/>
    <w:rsid w:val="00225F76"/>
    <w:rsid w:val="002904B7"/>
    <w:rsid w:val="002957F7"/>
    <w:rsid w:val="002C3D37"/>
    <w:rsid w:val="002C5326"/>
    <w:rsid w:val="002C672A"/>
    <w:rsid w:val="00306924"/>
    <w:rsid w:val="003070D2"/>
    <w:rsid w:val="00317F39"/>
    <w:rsid w:val="003914A5"/>
    <w:rsid w:val="00397297"/>
    <w:rsid w:val="003F549B"/>
    <w:rsid w:val="004364B1"/>
    <w:rsid w:val="0050777D"/>
    <w:rsid w:val="00571BC3"/>
    <w:rsid w:val="00593469"/>
    <w:rsid w:val="005C3761"/>
    <w:rsid w:val="005D03A0"/>
    <w:rsid w:val="005F5D86"/>
    <w:rsid w:val="006D0B35"/>
    <w:rsid w:val="007245E5"/>
    <w:rsid w:val="00733519"/>
    <w:rsid w:val="007906B0"/>
    <w:rsid w:val="007945DD"/>
    <w:rsid w:val="007D4826"/>
    <w:rsid w:val="007F0E4E"/>
    <w:rsid w:val="00833065"/>
    <w:rsid w:val="008441CB"/>
    <w:rsid w:val="00862A5F"/>
    <w:rsid w:val="00877836"/>
    <w:rsid w:val="008E3A3A"/>
    <w:rsid w:val="00A17414"/>
    <w:rsid w:val="00A43243"/>
    <w:rsid w:val="00B44750"/>
    <w:rsid w:val="00C707DB"/>
    <w:rsid w:val="00C77C55"/>
    <w:rsid w:val="00CB0D0E"/>
    <w:rsid w:val="00CC4F6C"/>
    <w:rsid w:val="00CE6DA0"/>
    <w:rsid w:val="00D13314"/>
    <w:rsid w:val="00D34D4C"/>
    <w:rsid w:val="00D601C1"/>
    <w:rsid w:val="00EA26EA"/>
    <w:rsid w:val="00EF6DAC"/>
    <w:rsid w:val="00F13D69"/>
    <w:rsid w:val="00F31471"/>
    <w:rsid w:val="00F33C38"/>
    <w:rsid w:val="00F3573F"/>
    <w:rsid w:val="00F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EA63"/>
  <w15:chartTrackingRefBased/>
  <w15:docId w15:val="{51C3DD60-3C2D-CD40-B59B-7ACD3DD2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E6DA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9B"/>
    <w:rPr>
      <w:b/>
      <w:bCs/>
      <w:smallCaps/>
      <w:color w:val="0F4761" w:themeColor="accent1" w:themeShade="BF"/>
      <w:spacing w:val="5"/>
    </w:rPr>
  </w:style>
  <w:style w:type="character" w:customStyle="1" w:styleId="acalog-highlight-search-1">
    <w:name w:val="acalog-highlight-search-1"/>
    <w:basedOn w:val="DefaultParagraphFont"/>
    <w:rsid w:val="003F549B"/>
  </w:style>
  <w:style w:type="table" w:styleId="TableGrid">
    <w:name w:val="Table Grid"/>
    <w:basedOn w:val="TableNormal"/>
    <w:uiPriority w:val="39"/>
    <w:rsid w:val="003F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3A0"/>
  </w:style>
  <w:style w:type="paragraph" w:styleId="Footer">
    <w:name w:val="footer"/>
    <w:basedOn w:val="Normal"/>
    <w:link w:val="FooterChar"/>
    <w:uiPriority w:val="99"/>
    <w:unhideWhenUsed/>
    <w:rsid w:val="005D0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3A0"/>
  </w:style>
  <w:style w:type="character" w:styleId="PageNumber">
    <w:name w:val="page number"/>
    <w:basedOn w:val="DefaultParagraphFont"/>
    <w:uiPriority w:val="99"/>
    <w:semiHidden/>
    <w:unhideWhenUsed/>
    <w:rsid w:val="005D03A0"/>
  </w:style>
  <w:style w:type="character" w:styleId="Hyperlink">
    <w:name w:val="Hyperlink"/>
    <w:basedOn w:val="DefaultParagraphFont"/>
    <w:uiPriority w:val="99"/>
    <w:unhideWhenUsed/>
    <w:rsid w:val="00F72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3F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957F7"/>
    <w:pPr>
      <w:keepNext/>
      <w:spacing w:after="0" w:line="240" w:lineRule="auto"/>
      <w:jc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wcu.wcu.ed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ffiliate.wcu.edu/cfc/syllabus-resourc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atalog.wcu.ed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atalog.wcu.ed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227C73-23AD-9C4E-AA2B-7C4FE4D3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Huffman</dc:creator>
  <cp:keywords/>
  <dc:description/>
  <cp:lastModifiedBy>Carmen Huffman</cp:lastModifiedBy>
  <cp:revision>12</cp:revision>
  <dcterms:created xsi:type="dcterms:W3CDTF">2026-03-27T13:43:00Z</dcterms:created>
  <dcterms:modified xsi:type="dcterms:W3CDTF">2026-04-21T12:12:00Z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321b5f-a4ea-42e4-9273-2f91b9a1a708_Enabled">
    <vt:lpwstr>true</vt:lpwstr>
  </property>
  <property fmtid="{D5CDD505-2E9C-101B-9397-08002B2CF9AE}" pid="3" name="MSIP_Label_8d321b5f-a4ea-42e4-9273-2f91b9a1a708_SetDate">
    <vt:lpwstr>2025-12-10T14:28:40Z</vt:lpwstr>
  </property>
  <property fmtid="{D5CDD505-2E9C-101B-9397-08002B2CF9AE}" pid="4" name="MSIP_Label_8d321b5f-a4ea-42e4-9273-2f91b9a1a708_Method">
    <vt:lpwstr>Standard</vt:lpwstr>
  </property>
  <property fmtid="{D5CDD505-2E9C-101B-9397-08002B2CF9AE}" pid="5" name="MSIP_Label_8d321b5f-a4ea-42e4-9273-2f91b9a1a708_Name">
    <vt:lpwstr>Low Confidentiality - Green</vt:lpwstr>
  </property>
  <property fmtid="{D5CDD505-2E9C-101B-9397-08002B2CF9AE}" pid="6" name="MSIP_Label_8d321b5f-a4ea-42e4-9273-2f91b9a1a708_SiteId">
    <vt:lpwstr>c5b35b5a-16d5-4414-8ee1-7bde70543f1b</vt:lpwstr>
  </property>
  <property fmtid="{D5CDD505-2E9C-101B-9397-08002B2CF9AE}" pid="7" name="MSIP_Label_8d321b5f-a4ea-42e4-9273-2f91b9a1a708_ActionId">
    <vt:lpwstr>47ba53e3-246e-4651-abf1-37d7265b727d</vt:lpwstr>
  </property>
  <property fmtid="{D5CDD505-2E9C-101B-9397-08002B2CF9AE}" pid="8" name="MSIP_Label_8d321b5f-a4ea-42e4-9273-2f91b9a1a708_ContentBits">
    <vt:lpwstr>0</vt:lpwstr>
  </property>
  <property fmtid="{D5CDD505-2E9C-101B-9397-08002B2CF9AE}" pid="9" name="MSIP_Label_8d321b5f-a4ea-42e4-9273-2f91b9a1a708_Tag">
    <vt:lpwstr>50, 3, 0, 1</vt:lpwstr>
  </property>
</Properties>
</file>