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4D3CE" w14:textId="14284F8A" w:rsidR="0001753E" w:rsidRPr="0001753E" w:rsidRDefault="0001753E" w:rsidP="0001753E">
      <w:pPr>
        <w:spacing w:before="100" w:beforeAutospacing="1" w:after="100" w:afterAutospacing="1" w:line="300" w:lineRule="atLeast"/>
        <w:jc w:val="center"/>
        <w:outlineLvl w:val="1"/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</w:pPr>
      <w:r w:rsidRPr="0001753E">
        <w:rPr>
          <w:rFonts w:ascii="Apple Color Emoji" w:eastAsia="Times New Roman" w:hAnsi="Apple Color Emoji" w:cs="Apple Color Emoji"/>
          <w:b/>
          <w:bCs/>
          <w:kern w:val="0"/>
          <w:sz w:val="20"/>
          <w:szCs w:val="20"/>
          <w14:ligatures w14:val="none"/>
        </w:rPr>
        <w:t>🧾</w:t>
      </w:r>
      <w:r w:rsidRPr="0001753E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01753E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>PCard</w:t>
      </w:r>
      <w:proofErr w:type="spellEnd"/>
      <w:r w:rsidRPr="0001753E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 xml:space="preserve"> Use on Grant Funds: Quick Guide</w:t>
      </w:r>
    </w:p>
    <w:p w14:paraId="12EE81D8" w14:textId="77777777" w:rsidR="0001753E" w:rsidRPr="0001753E" w:rsidRDefault="0001753E" w:rsidP="0001753E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</w:pPr>
      <w:r w:rsidRPr="0001753E">
        <w:rPr>
          <w:rFonts w:ascii="Apple Color Emoji" w:eastAsia="Times New Roman" w:hAnsi="Apple Color Emoji" w:cs="Apple Color Emoji"/>
          <w:b/>
          <w:bCs/>
          <w:kern w:val="0"/>
          <w:sz w:val="20"/>
          <w:szCs w:val="20"/>
          <w14:ligatures w14:val="none"/>
        </w:rPr>
        <w:t>📘</w:t>
      </w:r>
      <w:r w:rsidRPr="0001753E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 xml:space="preserve"> Overview</w:t>
      </w:r>
    </w:p>
    <w:p w14:paraId="35608855" w14:textId="060040D4" w:rsidR="0001753E" w:rsidRPr="0001753E" w:rsidRDefault="0001753E" w:rsidP="00A5106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01753E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 xml:space="preserve">This guidance is designed to help </w:t>
      </w:r>
      <w:r w:rsidRPr="0001753E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 xml:space="preserve">WCU </w:t>
      </w:r>
      <w:proofErr w:type="spellStart"/>
      <w:r w:rsidRPr="0001753E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>PCard</w:t>
      </w:r>
      <w:proofErr w:type="spellEnd"/>
      <w:r w:rsidRPr="0001753E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 xml:space="preserve"> </w:t>
      </w:r>
      <w:r w:rsidRPr="00A51065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>holders,</w:t>
      </w:r>
      <w:r w:rsidRPr="0001753E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 xml:space="preserve"> and their approvers</w:t>
      </w:r>
      <w:r w:rsidRPr="0001753E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 xml:space="preserve"> use grant funds responsibly and in compliance with university and sponsor policies. Following these practices ensures smooth financial management, avoid</w:t>
      </w:r>
      <w:r w:rsidRPr="00A51065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s</w:t>
      </w:r>
      <w:r w:rsidRPr="0001753E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 xml:space="preserve"> unnecessary corrections, and supports the success of your research projects.</w:t>
      </w:r>
      <w:r w:rsidR="001D0439">
        <w:rPr>
          <w:rFonts w:ascii="Segoe UI" w:eastAsia="Times New Roman" w:hAnsi="Segoe UI" w:cs="Segoe UI"/>
          <w:noProof/>
          <w:kern w:val="0"/>
          <w:sz w:val="20"/>
          <w:szCs w:val="20"/>
        </w:rPr>
        <w:pict w14:anchorId="41A16444">
          <v:rect id="_x0000_i1030" alt="" style="width:468pt;height:.05pt;mso-width-percent:0;mso-height-percent:0;mso-width-percent:0;mso-height-percent:0" o:hralign="center" o:hrstd="t" o:hr="t" fillcolor="#a0a0a0" stroked="f"/>
        </w:pict>
      </w:r>
      <w:r w:rsidRPr="0001753E">
        <w:rPr>
          <w:rFonts w:ascii="Apple Color Emoji" w:eastAsia="Times New Roman" w:hAnsi="Apple Color Emoji" w:cs="Apple Color Emoji"/>
          <w:b/>
          <w:bCs/>
          <w:kern w:val="0"/>
          <w:sz w:val="20"/>
          <w:szCs w:val="20"/>
          <w14:ligatures w14:val="none"/>
        </w:rPr>
        <w:t>📊</w:t>
      </w:r>
      <w:r w:rsidRPr="0001753E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 xml:space="preserve"> Budget Compliance</w:t>
      </w:r>
    </w:p>
    <w:p w14:paraId="535AF666" w14:textId="3725F89B" w:rsidR="0001753E" w:rsidRPr="0001753E" w:rsidRDefault="0001753E" w:rsidP="087B7C53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01753E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>Stay within budget</w:t>
      </w:r>
      <w:r w:rsidRPr="0001753E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 xml:space="preserve">: </w:t>
      </w:r>
      <w:r w:rsidR="38F30F7F" w:rsidRPr="0001753E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Purchases must</w:t>
      </w:r>
      <w:r w:rsidRPr="0001753E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 xml:space="preserve"> </w:t>
      </w:r>
      <w:r w:rsidRPr="0001753E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>not exceed</w:t>
      </w:r>
      <w:r w:rsidRPr="0001753E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 xml:space="preserve"> </w:t>
      </w:r>
      <w:r w:rsidR="39E605A9" w:rsidRPr="0001753E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 xml:space="preserve">available </w:t>
      </w:r>
      <w:r w:rsidRPr="0001753E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budget.</w:t>
      </w:r>
    </w:p>
    <w:p w14:paraId="63AB98DE" w14:textId="786B2BC3" w:rsidR="0001753E" w:rsidRPr="0001753E" w:rsidRDefault="0001753E" w:rsidP="0001753E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01753E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>Avoid overages</w:t>
      </w:r>
      <w:r w:rsidRPr="0001753E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: Overages require a</w:t>
      </w:r>
      <w:r w:rsidRPr="00A51065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n administrative</w:t>
      </w:r>
      <w:r w:rsidRPr="0001753E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 xml:space="preserve"> </w:t>
      </w:r>
      <w:r w:rsidRPr="0001753E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>recode to another account</w:t>
      </w:r>
      <w:r w:rsidRPr="0001753E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, which can complicate reporting and should be avoided.</w:t>
      </w:r>
    </w:p>
    <w:p w14:paraId="31852EB0" w14:textId="75A7DE8B" w:rsidR="0001753E" w:rsidRPr="0001753E" w:rsidRDefault="001D0439" w:rsidP="00A51065">
      <w:pPr>
        <w:spacing w:after="0" w:line="300" w:lineRule="atLeast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>
        <w:rPr>
          <w:rFonts w:ascii="Segoe UI" w:eastAsia="Times New Roman" w:hAnsi="Segoe UI" w:cs="Segoe UI"/>
          <w:noProof/>
          <w:kern w:val="0"/>
          <w:sz w:val="20"/>
          <w:szCs w:val="20"/>
        </w:rPr>
        <w:pict w14:anchorId="67905E8A">
          <v:rect id="_x0000_i1029" alt="" style="width:468pt;height:.05pt;mso-width-percent:0;mso-height-percent:0;mso-width-percent:0;mso-height-percent:0" o:hralign="center" o:hrstd="t" o:hr="t" fillcolor="#a0a0a0" stroked="f"/>
        </w:pict>
      </w:r>
      <w:r w:rsidR="0001753E" w:rsidRPr="0001753E">
        <w:rPr>
          <w:rFonts w:ascii="Apple Color Emoji" w:eastAsia="Times New Roman" w:hAnsi="Apple Color Emoji" w:cs="Apple Color Emoji"/>
          <w:b/>
          <w:bCs/>
          <w:kern w:val="0"/>
          <w:sz w:val="20"/>
          <w:szCs w:val="20"/>
          <w14:ligatures w14:val="none"/>
        </w:rPr>
        <w:t>🧾</w:t>
      </w:r>
      <w:r w:rsidR="0001753E" w:rsidRPr="0001753E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 xml:space="preserve"> Account Coding</w:t>
      </w:r>
    </w:p>
    <w:p w14:paraId="5D5CE8F5" w14:textId="04CF31C1" w:rsidR="0001753E" w:rsidRPr="0001753E" w:rsidRDefault="0001753E" w:rsidP="0001753E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01753E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>Use the correct account code</w:t>
      </w:r>
      <w:r w:rsidRPr="0001753E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 xml:space="preserve">: Always assign purchases to the </w:t>
      </w:r>
      <w:r w:rsidRPr="0001753E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>most accurate account code</w:t>
      </w:r>
      <w:r w:rsidRPr="0001753E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 xml:space="preserve"> that reflects the nature of the expense</w:t>
      </w:r>
      <w:r w:rsidRPr="00A51065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 xml:space="preserve"> and the awarded budget of record</w:t>
      </w:r>
      <w:r w:rsidRPr="0001753E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.</w:t>
      </w:r>
    </w:p>
    <w:p w14:paraId="56441712" w14:textId="0B4E1E7A" w:rsidR="0001753E" w:rsidRPr="0001753E" w:rsidRDefault="001D0439" w:rsidP="00A51065">
      <w:pPr>
        <w:spacing w:after="0" w:line="300" w:lineRule="atLeast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>
        <w:rPr>
          <w:rFonts w:ascii="Segoe UI" w:eastAsia="Times New Roman" w:hAnsi="Segoe UI" w:cs="Segoe UI"/>
          <w:noProof/>
          <w:kern w:val="0"/>
          <w:sz w:val="20"/>
          <w:szCs w:val="20"/>
        </w:rPr>
        <w:pict w14:anchorId="2887CC2B">
          <v:rect id="_x0000_i1028" alt="" style="width:468pt;height:.05pt;mso-width-percent:0;mso-height-percent:0;mso-width-percent:0;mso-height-percent:0" o:hralign="center" o:hrstd="t" o:hr="t" fillcolor="#a0a0a0" stroked="f"/>
        </w:pict>
      </w:r>
      <w:r w:rsidR="0001753E" w:rsidRPr="0001753E">
        <w:rPr>
          <w:rFonts w:ascii="Apple Color Emoji" w:eastAsia="Times New Roman" w:hAnsi="Apple Color Emoji" w:cs="Apple Color Emoji"/>
          <w:b/>
          <w:bCs/>
          <w:kern w:val="0"/>
          <w:sz w:val="20"/>
          <w:szCs w:val="20"/>
          <w14:ligatures w14:val="none"/>
        </w:rPr>
        <w:t>📁</w:t>
      </w:r>
      <w:r w:rsidR="0001753E" w:rsidRPr="0001753E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 xml:space="preserve"> Documentation</w:t>
      </w:r>
    </w:p>
    <w:p w14:paraId="0D35E00A" w14:textId="2B021BD5" w:rsidR="0001753E" w:rsidRPr="0001753E" w:rsidRDefault="0001753E" w:rsidP="0001753E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01753E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>Attach receipts</w:t>
      </w:r>
      <w:r w:rsidRPr="0001753E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 xml:space="preserve">: Every </w:t>
      </w:r>
      <w:proofErr w:type="spellStart"/>
      <w:r w:rsidRPr="0001753E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PCard</w:t>
      </w:r>
      <w:proofErr w:type="spellEnd"/>
      <w:r w:rsidRPr="0001753E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 xml:space="preserve"> transaction must include a</w:t>
      </w:r>
      <w:r w:rsidR="00FE1B9C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 xml:space="preserve">n </w:t>
      </w:r>
      <w:r w:rsidR="00FE1B9C" w:rsidRPr="00FE1B9C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>itemized invoice/</w:t>
      </w:r>
      <w:r w:rsidRPr="00FE1B9C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>receipt</w:t>
      </w:r>
      <w:r w:rsidRPr="0001753E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.</w:t>
      </w:r>
    </w:p>
    <w:p w14:paraId="66E09295" w14:textId="77777777" w:rsidR="0001753E" w:rsidRPr="0001753E" w:rsidRDefault="0001753E" w:rsidP="0001753E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01753E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>Add a business comment</w:t>
      </w:r>
      <w:r w:rsidRPr="0001753E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 xml:space="preserve">: Clearly explain the </w:t>
      </w:r>
      <w:r w:rsidRPr="0001753E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>purpose of the purchase</w:t>
      </w:r>
      <w:r w:rsidRPr="0001753E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 xml:space="preserve"> and how it relates to the grant.</w:t>
      </w:r>
    </w:p>
    <w:p w14:paraId="447BC9BA" w14:textId="4EF3E937" w:rsidR="0001753E" w:rsidRPr="0001753E" w:rsidRDefault="001D0439" w:rsidP="00A51065">
      <w:pPr>
        <w:spacing w:after="0" w:line="300" w:lineRule="atLeast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>
        <w:rPr>
          <w:rFonts w:ascii="Segoe UI" w:eastAsia="Times New Roman" w:hAnsi="Segoe UI" w:cs="Segoe UI"/>
          <w:noProof/>
          <w:kern w:val="0"/>
          <w:sz w:val="20"/>
          <w:szCs w:val="20"/>
        </w:rPr>
        <w:pict w14:anchorId="7CB06702">
          <v:rect id="_x0000_i1027" alt="" style="width:468pt;height:.05pt;mso-width-percent:0;mso-height-percent:0;mso-width-percent:0;mso-height-percent:0" o:hralign="center" o:hrstd="t" o:hr="t" fillcolor="#a0a0a0" stroked="f"/>
        </w:pict>
      </w:r>
      <w:r w:rsidR="0001753E" w:rsidRPr="0001753E">
        <w:rPr>
          <w:rFonts w:ascii="Apple Color Emoji" w:eastAsia="Times New Roman" w:hAnsi="Apple Color Emoji" w:cs="Apple Color Emoji"/>
          <w:b/>
          <w:bCs/>
          <w:kern w:val="0"/>
          <w:sz w:val="20"/>
          <w:szCs w:val="20"/>
          <w14:ligatures w14:val="none"/>
        </w:rPr>
        <w:t>⏳</w:t>
      </w:r>
      <w:r w:rsidR="0001753E" w:rsidRPr="0001753E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 xml:space="preserve"> Grant Timing Restrictions</w:t>
      </w:r>
    </w:p>
    <w:p w14:paraId="0F42E4E7" w14:textId="329BDDAD" w:rsidR="0001753E" w:rsidRPr="002B1175" w:rsidRDefault="0001753E" w:rsidP="002B117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01753E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>No purchases in the final 30 days</w:t>
      </w:r>
      <w:r w:rsidRPr="0001753E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 xml:space="preserve">: </w:t>
      </w:r>
      <w:proofErr w:type="spellStart"/>
      <w:r w:rsidRPr="0001753E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PCard</w:t>
      </w:r>
      <w:proofErr w:type="spellEnd"/>
      <w:r w:rsidRPr="0001753E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 xml:space="preserve"> use is </w:t>
      </w:r>
      <w:r w:rsidRPr="0001753E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>not allowed</w:t>
      </w:r>
      <w:r w:rsidRPr="0001753E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 xml:space="preserve"> during the last </w:t>
      </w:r>
      <w:r w:rsidRPr="0001753E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>30 days</w:t>
      </w:r>
      <w:r w:rsidRPr="0001753E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 xml:space="preserve"> of a grant.</w:t>
      </w:r>
    </w:p>
    <w:p w14:paraId="1454283E" w14:textId="74A09FE6" w:rsidR="0001753E" w:rsidRPr="0001753E" w:rsidRDefault="00AF4933" w:rsidP="0001753E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>Fund-to-</w:t>
      </w:r>
      <w:r w:rsidR="003B570D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 xml:space="preserve">Card </w:t>
      </w:r>
      <w:r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>Deactivation</w:t>
      </w:r>
      <w:r w:rsidR="0001753E" w:rsidRPr="0001753E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 xml:space="preserve">: </w:t>
      </w:r>
      <w:r w:rsidR="0017228B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>Purchasing</w:t>
      </w:r>
      <w:r w:rsidR="0001753E" w:rsidRPr="0001753E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 xml:space="preserve"> </w:t>
      </w:r>
      <w:r w:rsidR="003B570D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 xml:space="preserve">will remove the grant fund from the </w:t>
      </w:r>
      <w:proofErr w:type="spellStart"/>
      <w:r w:rsidR="003B570D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Pcard</w:t>
      </w:r>
      <w:proofErr w:type="spellEnd"/>
      <w:r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 xml:space="preserve"> in the last 30 days of the grant</w:t>
      </w:r>
      <w:r w:rsidR="0001753E" w:rsidRPr="0001753E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.</w:t>
      </w:r>
      <w:r w:rsidR="003B570D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 xml:space="preserve"> Cardholders will be notified by Post Award of this chang</w:t>
      </w:r>
      <w:r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e as part of timely closeout reminders</w:t>
      </w:r>
      <w:r w:rsidR="003B570D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.</w:t>
      </w:r>
    </w:p>
    <w:p w14:paraId="29503206" w14:textId="7E46B3F9" w:rsidR="0001753E" w:rsidRPr="0001753E" w:rsidRDefault="001D0439" w:rsidP="00A51065">
      <w:pPr>
        <w:spacing w:after="0" w:line="300" w:lineRule="atLeast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>
        <w:rPr>
          <w:rFonts w:ascii="Segoe UI" w:eastAsia="Times New Roman" w:hAnsi="Segoe UI" w:cs="Segoe UI"/>
          <w:noProof/>
          <w:kern w:val="0"/>
          <w:sz w:val="20"/>
          <w:szCs w:val="20"/>
        </w:rPr>
        <w:pict w14:anchorId="166CAC51">
          <v:rect id="_x0000_i1026" alt="" style="width:468pt;height:.05pt;mso-width-percent:0;mso-height-percent:0;mso-width-percent:0;mso-height-percent:0" o:hralign="center" o:hrstd="t" o:hr="t" fillcolor="#a0a0a0" stroked="f"/>
        </w:pict>
      </w:r>
      <w:r w:rsidR="0001753E" w:rsidRPr="0001753E">
        <w:rPr>
          <w:rFonts w:ascii="Apple Color Emoji" w:eastAsia="Times New Roman" w:hAnsi="Apple Color Emoji" w:cs="Apple Color Emoji"/>
          <w:b/>
          <w:bCs/>
          <w:kern w:val="0"/>
          <w:sz w:val="20"/>
          <w:szCs w:val="20"/>
          <w14:ligatures w14:val="none"/>
        </w:rPr>
        <w:t>🛍️</w:t>
      </w:r>
      <w:r w:rsidR="0001753E" w:rsidRPr="0001753E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 xml:space="preserve"> End-of-Grant Purchases</w:t>
      </w:r>
    </w:p>
    <w:p w14:paraId="049BC65B" w14:textId="77777777" w:rsidR="0001753E" w:rsidRPr="0001753E" w:rsidRDefault="0001753E" w:rsidP="0001753E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01753E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>Last 90 days = essential only</w:t>
      </w:r>
      <w:r w:rsidRPr="0001753E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 xml:space="preserve">: Purchases made in the final </w:t>
      </w:r>
      <w:r w:rsidRPr="0001753E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>90 days</w:t>
      </w:r>
      <w:r w:rsidRPr="0001753E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 xml:space="preserve"> must be </w:t>
      </w:r>
      <w:r w:rsidRPr="0001753E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>critical</w:t>
      </w:r>
      <w:r w:rsidRPr="0001753E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 xml:space="preserve"> and support </w:t>
      </w:r>
      <w:r w:rsidRPr="0001753E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>active project work</w:t>
      </w:r>
      <w:r w:rsidRPr="0001753E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.</w:t>
      </w:r>
    </w:p>
    <w:p w14:paraId="6715510C" w14:textId="77777777" w:rsidR="0001753E" w:rsidRPr="0001753E" w:rsidRDefault="0001753E" w:rsidP="0001753E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01753E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>Avoid non-essential spending</w:t>
      </w:r>
      <w:r w:rsidRPr="0001753E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: Refrain from buying items that are not directly tied to the grant’s objectives.</w:t>
      </w:r>
    </w:p>
    <w:p w14:paraId="37D317D8" w14:textId="77777777" w:rsidR="0001753E" w:rsidRPr="0001753E" w:rsidRDefault="001D0439" w:rsidP="0001753E">
      <w:pPr>
        <w:spacing w:after="0" w:line="300" w:lineRule="atLeast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>
        <w:rPr>
          <w:rFonts w:ascii="Segoe UI" w:eastAsia="Times New Roman" w:hAnsi="Segoe UI" w:cs="Segoe UI"/>
          <w:noProof/>
          <w:kern w:val="0"/>
          <w:sz w:val="20"/>
          <w:szCs w:val="20"/>
        </w:rPr>
        <w:pict w14:anchorId="621B6B2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16260E2" w14:textId="7FDEFD2C" w:rsidR="0001753E" w:rsidRPr="00A51065" w:rsidRDefault="0001753E">
      <w:pPr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A51065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 xml:space="preserve">For questions or support using your </w:t>
      </w:r>
      <w:proofErr w:type="spellStart"/>
      <w:r w:rsidRPr="00A51065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>PCard</w:t>
      </w:r>
      <w:proofErr w:type="spellEnd"/>
      <w:r w:rsidRPr="00A51065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 xml:space="preserve"> in alignment with the grant fund, please reach out to the Post Award Financial team.</w:t>
      </w:r>
    </w:p>
    <w:p w14:paraId="19959692" w14:textId="34BDD5B4" w:rsidR="0001753E" w:rsidRPr="00A51065" w:rsidRDefault="0001753E">
      <w:pPr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A51065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>Post Award Manager</w:t>
      </w:r>
      <w:r w:rsidRPr="00A51065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 xml:space="preserve"> – Ben Peters, </w:t>
      </w:r>
      <w:hyperlink r:id="rId8" w:history="1">
        <w:r w:rsidRPr="00A51065">
          <w:rPr>
            <w:rStyle w:val="Hyperlink"/>
            <w:rFonts w:ascii="Segoe UI" w:eastAsia="Times New Roman" w:hAnsi="Segoe UI" w:cs="Segoe UI"/>
            <w:kern w:val="0"/>
            <w:sz w:val="20"/>
            <w:szCs w:val="20"/>
            <w14:ligatures w14:val="none"/>
          </w:rPr>
          <w:t>bpeters@wcu.edu</w:t>
        </w:r>
      </w:hyperlink>
    </w:p>
    <w:p w14:paraId="71AD883C" w14:textId="1FA75972" w:rsidR="0001753E" w:rsidRPr="00A51065" w:rsidRDefault="0001753E">
      <w:pPr>
        <w:rPr>
          <w:sz w:val="20"/>
          <w:szCs w:val="20"/>
        </w:rPr>
      </w:pPr>
      <w:r w:rsidRPr="00A51065">
        <w:rPr>
          <w:rFonts w:ascii="Segoe UI" w:eastAsia="Times New Roman" w:hAnsi="Segoe UI" w:cs="Segoe UI"/>
          <w:b/>
          <w:bCs/>
          <w:kern w:val="0"/>
          <w:sz w:val="20"/>
          <w:szCs w:val="20"/>
          <w14:ligatures w14:val="none"/>
        </w:rPr>
        <w:t>Post Award Grant Specialist</w:t>
      </w:r>
      <w:r w:rsidRPr="00A51065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 xml:space="preserve"> – Cameron Lopez, </w:t>
      </w:r>
      <w:hyperlink r:id="rId9" w:history="1">
        <w:r w:rsidRPr="00A51065">
          <w:rPr>
            <w:rStyle w:val="Hyperlink"/>
            <w:rFonts w:ascii="Segoe UI" w:eastAsia="Times New Roman" w:hAnsi="Segoe UI" w:cs="Segoe UI"/>
            <w:kern w:val="0"/>
            <w:sz w:val="20"/>
            <w:szCs w:val="20"/>
            <w14:ligatures w14:val="none"/>
          </w:rPr>
          <w:t>clopez@wcu.edu</w:t>
        </w:r>
      </w:hyperlink>
      <w:r w:rsidRPr="00A51065">
        <w:rPr>
          <w:rFonts w:ascii="Segoe UI" w:eastAsia="Times New Roman" w:hAnsi="Segoe UI" w:cs="Segoe UI"/>
          <w:kern w:val="0"/>
          <w:sz w:val="20"/>
          <w:szCs w:val="20"/>
          <w14:ligatures w14:val="none"/>
        </w:rPr>
        <w:t xml:space="preserve"> </w:t>
      </w:r>
    </w:p>
    <w:sectPr w:rsidR="0001753E" w:rsidRPr="00A51065" w:rsidSect="00A510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D7C96"/>
    <w:multiLevelType w:val="multilevel"/>
    <w:tmpl w:val="A412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70FC6"/>
    <w:multiLevelType w:val="multilevel"/>
    <w:tmpl w:val="8FCAA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971064"/>
    <w:multiLevelType w:val="multilevel"/>
    <w:tmpl w:val="1864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31375B"/>
    <w:multiLevelType w:val="multilevel"/>
    <w:tmpl w:val="BB1A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0372A9"/>
    <w:multiLevelType w:val="multilevel"/>
    <w:tmpl w:val="3C16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051327">
    <w:abstractNumId w:val="1"/>
  </w:num>
  <w:num w:numId="2" w16cid:durableId="873346490">
    <w:abstractNumId w:val="0"/>
  </w:num>
  <w:num w:numId="3" w16cid:durableId="428547796">
    <w:abstractNumId w:val="4"/>
  </w:num>
  <w:num w:numId="4" w16cid:durableId="568272777">
    <w:abstractNumId w:val="3"/>
  </w:num>
  <w:num w:numId="5" w16cid:durableId="422848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53E"/>
    <w:rsid w:val="0001753E"/>
    <w:rsid w:val="0017228B"/>
    <w:rsid w:val="0019162C"/>
    <w:rsid w:val="001D0439"/>
    <w:rsid w:val="002376B5"/>
    <w:rsid w:val="002B1175"/>
    <w:rsid w:val="00356FFE"/>
    <w:rsid w:val="003B570D"/>
    <w:rsid w:val="0051158C"/>
    <w:rsid w:val="00513B79"/>
    <w:rsid w:val="00540BB5"/>
    <w:rsid w:val="006C25DC"/>
    <w:rsid w:val="00760D2F"/>
    <w:rsid w:val="007C2CD4"/>
    <w:rsid w:val="0085316E"/>
    <w:rsid w:val="00A51065"/>
    <w:rsid w:val="00AF4933"/>
    <w:rsid w:val="00C20D82"/>
    <w:rsid w:val="00E5337A"/>
    <w:rsid w:val="00FE1B9C"/>
    <w:rsid w:val="087B7C53"/>
    <w:rsid w:val="2301BE11"/>
    <w:rsid w:val="38F30F7F"/>
    <w:rsid w:val="39E6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98A0B"/>
  <w15:chartTrackingRefBased/>
  <w15:docId w15:val="{C61F0E7A-3206-6B4E-93BD-E12B14E4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7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75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5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5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5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5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5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5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5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75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175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5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5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5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5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5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5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5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5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5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5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5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5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53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17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1753E"/>
    <w:rPr>
      <w:b/>
      <w:bCs/>
    </w:rPr>
  </w:style>
  <w:style w:type="character" w:styleId="Emphasis">
    <w:name w:val="Emphasis"/>
    <w:basedOn w:val="DefaultParagraphFont"/>
    <w:uiPriority w:val="20"/>
    <w:qFormat/>
    <w:rsid w:val="0001753E"/>
    <w:rPr>
      <w:i/>
      <w:iCs/>
    </w:rPr>
  </w:style>
  <w:style w:type="character" w:styleId="Hyperlink">
    <w:name w:val="Hyperlink"/>
    <w:basedOn w:val="DefaultParagraphFont"/>
    <w:uiPriority w:val="99"/>
    <w:unhideWhenUsed/>
    <w:rsid w:val="000175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7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eters@wcu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lopez@wc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0EEFA2D821F4281D72769B8BB4A88" ma:contentTypeVersion="17" ma:contentTypeDescription="Create a new document." ma:contentTypeScope="" ma:versionID="dc475ec358e8d8a2dac63d65600245a0">
  <xsd:schema xmlns:xsd="http://www.w3.org/2001/XMLSchema" xmlns:xs="http://www.w3.org/2001/XMLSchema" xmlns:p="http://schemas.microsoft.com/office/2006/metadata/properties" xmlns:ns1="http://schemas.microsoft.com/sharepoint/v3" xmlns:ns2="d3b6e6dd-07eb-432f-931e-24012a23e691" xmlns:ns3="2dbc2de0-ede4-4f47-9b0b-c443922addd7" targetNamespace="http://schemas.microsoft.com/office/2006/metadata/properties" ma:root="true" ma:fieldsID="3b09a0b06dd65704a3fd2af192b1cbc3" ns1:_="" ns2:_="" ns3:_="">
    <xsd:import namespace="http://schemas.microsoft.com/sharepoint/v3"/>
    <xsd:import namespace="d3b6e6dd-07eb-432f-931e-24012a23e691"/>
    <xsd:import namespace="2dbc2de0-ede4-4f47-9b0b-c443922ad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6e6dd-07eb-432f-931e-24012a23e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153e1a-6dd8-49b1-99b5-62373a7b7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c2de0-ede4-4f47-9b0b-c443922ad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10e5c0f-bded-403e-98b7-08773a63f589}" ma:internalName="TaxCatchAll" ma:showField="CatchAllData" ma:web="2dbc2de0-ede4-4f47-9b0b-c443922ad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3b6e6dd-07eb-432f-931e-24012a23e691">
      <Terms xmlns="http://schemas.microsoft.com/office/infopath/2007/PartnerControls"/>
    </lcf76f155ced4ddcb4097134ff3c332f>
    <TaxCatchAll xmlns="2dbc2de0-ede4-4f47-9b0b-c443922add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11B92-6673-4E63-810D-90A7DD54C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b6e6dd-07eb-432f-931e-24012a23e691"/>
    <ds:schemaRef ds:uri="2dbc2de0-ede4-4f47-9b0b-c443922ad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7B8333-E104-4C54-8F28-14CED2B93E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3b6e6dd-07eb-432f-931e-24012a23e691"/>
    <ds:schemaRef ds:uri="2dbc2de0-ede4-4f47-9b0b-c443922addd7"/>
  </ds:schemaRefs>
</ds:datastoreItem>
</file>

<file path=customXml/itemProps3.xml><?xml version="1.0" encoding="utf-8"?>
<ds:datastoreItem xmlns:ds="http://schemas.openxmlformats.org/officeDocument/2006/customXml" ds:itemID="{C6D97D05-A939-4E0F-9FEA-C6C7DE4450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Kloo Hansen</dc:creator>
  <cp:keywords/>
  <dc:description/>
  <cp:lastModifiedBy>Kloo Hansen</cp:lastModifiedBy>
  <cp:revision>10</cp:revision>
  <cp:lastPrinted>2025-09-02T16:39:00Z</cp:lastPrinted>
  <dcterms:created xsi:type="dcterms:W3CDTF">2025-09-02T16:39:00Z</dcterms:created>
  <dcterms:modified xsi:type="dcterms:W3CDTF">2025-09-25T12:09:00Z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321b5f-a4ea-42e4-9273-2f91b9a1a708_Enabled">
    <vt:lpwstr>true</vt:lpwstr>
  </property>
  <property fmtid="{D5CDD505-2E9C-101B-9397-08002B2CF9AE}" pid="3" name="MSIP_Label_8d321b5f-a4ea-42e4-9273-2f91b9a1a708_SetDate">
    <vt:lpwstr>2025-09-02T16:37:43Z</vt:lpwstr>
  </property>
  <property fmtid="{D5CDD505-2E9C-101B-9397-08002B2CF9AE}" pid="4" name="MSIP_Label_8d321b5f-a4ea-42e4-9273-2f91b9a1a708_Method">
    <vt:lpwstr>Standard</vt:lpwstr>
  </property>
  <property fmtid="{D5CDD505-2E9C-101B-9397-08002B2CF9AE}" pid="5" name="MSIP_Label_8d321b5f-a4ea-42e4-9273-2f91b9a1a708_Name">
    <vt:lpwstr>Low Confidentiality - Green</vt:lpwstr>
  </property>
  <property fmtid="{D5CDD505-2E9C-101B-9397-08002B2CF9AE}" pid="6" name="MSIP_Label_8d321b5f-a4ea-42e4-9273-2f91b9a1a708_SiteId">
    <vt:lpwstr>c5b35b5a-16d5-4414-8ee1-7bde70543f1b</vt:lpwstr>
  </property>
  <property fmtid="{D5CDD505-2E9C-101B-9397-08002B2CF9AE}" pid="7" name="MSIP_Label_8d321b5f-a4ea-42e4-9273-2f91b9a1a708_ActionId">
    <vt:lpwstr>7c4bc81e-a13f-4d90-bc93-2e00209c499a</vt:lpwstr>
  </property>
  <property fmtid="{D5CDD505-2E9C-101B-9397-08002B2CF9AE}" pid="8" name="MSIP_Label_8d321b5f-a4ea-42e4-9273-2f91b9a1a708_ContentBits">
    <vt:lpwstr>0</vt:lpwstr>
  </property>
  <property fmtid="{D5CDD505-2E9C-101B-9397-08002B2CF9AE}" pid="9" name="MSIP_Label_8d321b5f-a4ea-42e4-9273-2f91b9a1a708_Tag">
    <vt:lpwstr>50, 3, 0, 1</vt:lpwstr>
  </property>
  <property fmtid="{D5CDD505-2E9C-101B-9397-08002B2CF9AE}" pid="10" name="ContentTypeId">
    <vt:lpwstr>0x01010014F0EEFA2D821F4281D72769B8BB4A88</vt:lpwstr>
  </property>
  <property fmtid="{D5CDD505-2E9C-101B-9397-08002B2CF9AE}" pid="11" name="MediaServiceImageTags">
    <vt:lpwstr/>
  </property>
</Properties>
</file>